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736F7D"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36F7D" descr="https://www.arcat.com/clients/gfx/arcat.png"/>
                      <pic:cNvPicPr>
                        <a:picLocks noChangeAspect="1" noChangeArrowheads="1"/>
                      </pic:cNvPicPr>
                    </pic:nvPicPr>
                    <pic:blipFill>
                      <a:blip r:link="rId_736F7D"/>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60 00</w:t>
      </w:r>
    </w:p>
    <w:p>
      <w:pPr>
        <w:pStyle w:val="ARCATTitle"/>
        <w:jc w:val="center"/>
        <w:rPr/>
      </w:pPr>
      <w:r>
        <w:rPr/>
        <w:t>PRODUCT REQUIREMENTS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Manufacturers: Provide products from one manufacturer for each type or kind as applicable. Provide secondary materials as acceptable to manufacturers of primary materials.</w:t>
      </w:r>
    </w:p>
    <w:p w:rsidR="ABFFABFF" w:rsidRDefault="ABFFABFF" w:rsidP="ABFFABFF">
      <w:pPr>
        <w:pStyle w:val="ARCATParagraph"/>
        <w:numPr>
          <w:ilvl w:val="2"/>
          <w:numId w:val="1"/>
        </w:numPr>
        <w:rPr/>
      </w:pPr>
      <w:r>
        <w:rPr/>
        <w:t>Product Selection: Provide products selected or equal approved by Architect. Products submitted for substitution shall be submitted with complete documentation, and include construction costs of substitution including related work.</w:t>
      </w:r>
    </w:p>
    <w:p w:rsidR="ABFFABFF" w:rsidRDefault="ABFFABFF" w:rsidP="ABFFABFF">
      <w:pPr>
        <w:pStyle w:val="ARCATParagraph"/>
        <w:numPr>
          <w:ilvl w:val="2"/>
          <w:numId w:val="1"/>
        </w:numPr>
        <w:rPr/>
      </w:pPr>
      <w:r>
        <w:rPr/>
        <w:t>Substitutions: Request for substitution must be in writing. Conditions for substitution include:</w:t>
      </w:r>
    </w:p>
    <w:p w:rsidR="ABFFABFF" w:rsidRDefault="ABFFABFF" w:rsidP="ABFFABFF">
      <w:pPr>
        <w:pStyle w:val="ARCATSubPara"/>
        <w:numPr>
          <w:ilvl w:val="3"/>
          <w:numId w:val="1"/>
        </w:numPr>
        <w:rPr/>
      </w:pPr>
      <w:r>
        <w:rPr/>
        <w:t>An 'or equal' phrase in the specifications.</w:t>
      </w:r>
    </w:p>
    <w:p w:rsidR="ABFFABFF" w:rsidRDefault="ABFFABFF" w:rsidP="ABFFABFF">
      <w:pPr>
        <w:pStyle w:val="ARCATSubPara"/>
        <w:numPr>
          <w:ilvl w:val="3"/>
          <w:numId w:val="1"/>
        </w:numPr>
        <w:rPr/>
      </w:pPr>
      <w:r>
        <w:rPr/>
        <w:t>Specified material cannot be coordinated with other work.</w:t>
      </w:r>
    </w:p>
    <w:p w:rsidR="ABFFABFF" w:rsidRDefault="ABFFABFF" w:rsidP="ABFFABFF">
      <w:pPr>
        <w:pStyle w:val="ARCATSubPara"/>
        <w:numPr>
          <w:ilvl w:val="3"/>
          <w:numId w:val="1"/>
        </w:numPr>
        <w:rPr/>
      </w:pPr>
      <w:r>
        <w:rPr/>
        <w:t>Specified material is not acceptable to authorities having jurisdiction.</w:t>
      </w:r>
    </w:p>
    <w:p w:rsidR="ABFFABFF" w:rsidRDefault="ABFFABFF" w:rsidP="ABFFABFF">
      <w:pPr>
        <w:pStyle w:val="ARCATSubPara"/>
        <w:numPr>
          <w:ilvl w:val="3"/>
          <w:numId w:val="1"/>
        </w:numPr>
        <w:rPr/>
      </w:pPr>
      <w:r>
        <w:rPr/>
        <w:t>Substantial advantage is offered to the Owner in terms of cost, time, or other valuable consideration.</w:t>
      </w:r>
    </w:p>
    <w:p w:rsidR="ABFFABFF" w:rsidRDefault="ABFFABFF" w:rsidP="ABFFABFF">
      <w:pPr>
        <w:pStyle w:val="ARCATParagraph"/>
        <w:numPr>
          <w:ilvl w:val="2"/>
          <w:numId w:val="1"/>
        </w:numPr>
        <w:rPr/>
      </w:pPr>
      <w:r>
        <w:rPr/>
        <w:t>Substitution Requests: Substitutions shall be submitted prior to award of contract, unless otherwise acceptable. Approval of shop drawings, product data, or samples containing substitutions is not an approval of a substitution unless an item is clearly presented as a substitution at the time of submittal.</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60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36F7D"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