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5AE8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AE8B" descr="https://www.arcat.com/clients/gfx/arcat.png"/>
                      <pic:cNvPicPr>
                        <a:picLocks noChangeAspect="1" noChangeArrowheads="1"/>
                      </pic:cNvPicPr>
                    </pic:nvPicPr>
                    <pic:blipFill>
                      <a:blip r:link="rId_85AE8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13</w:t>
      </w:r>
    </w:p>
    <w:p>
      <w:pPr>
        <w:pStyle w:val="ARCATTitle"/>
        <w:jc w:val="center"/>
        <w:rPr/>
      </w:pPr>
      <w:r>
        <w:rPr/>
        <w:t>CARPET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 tile.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Tile:</w:t>
      </w:r>
    </w:p>
    <w:p>
      <w:pPr>
        <w:pStyle w:val="ARCATnote"/>
        <w:rPr/>
      </w:pPr>
      <w:r>
        <w:rPr/>
        <w:t>** NOTE TO SPECIFIER ** Delete types not required.</w:t>
      </w:r>
    </w:p>
    <w:p w:rsidR="ABFFABFF" w:rsidRDefault="ABFFABFF" w:rsidP="ABFFABFF">
      <w:pPr>
        <w:pStyle w:val="ARCATSubPara"/>
        <w:numPr>
          <w:ilvl w:val="3"/>
          <w:numId w:val="1"/>
        </w:numPr>
        <w:rPr/>
      </w:pPr>
      <w:r>
        <w:rPr/>
        <w:t>Material: High-performance nylon bonded to resilient backing.</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 not required.</w:t>
      </w:r>
    </w:p>
    <w:p w:rsidR="ABFFABFF" w:rsidRDefault="ABFFABFF" w:rsidP="ABFFABFF">
      <w:pPr>
        <w:pStyle w:val="ARCATSubPara"/>
        <w:numPr>
          <w:ilvl w:val="3"/>
          <w:numId w:val="1"/>
        </w:numPr>
        <w:rPr/>
      </w:pPr>
      <w:r>
        <w:rPr/>
        <w:t>Installation Method: Glue-down.</w:t>
      </w:r>
    </w:p>
    <w:p w:rsidR="ABFFABFF" w:rsidRDefault="ABFFABFF" w:rsidP="ABFFABFF">
      <w:pPr>
        <w:pStyle w:val="ARCATSubPara"/>
        <w:numPr>
          <w:ilvl w:val="3"/>
          <w:numId w:val="1"/>
        </w:numPr>
        <w:rPr/>
      </w:pPr>
      <w:r>
        <w:rPr/>
        <w:t>Installation Method: Partial glue-down.</w:t>
      </w:r>
    </w:p>
    <w:p w:rsidR="ABFFABFF" w:rsidRDefault="ABFFABFF" w:rsidP="ABFFABFF">
      <w:pPr>
        <w:pStyle w:val="ARCATSubPara"/>
        <w:numPr>
          <w:ilvl w:val="3"/>
          <w:numId w:val="1"/>
        </w:numPr>
        <w:rPr/>
      </w:pPr>
      <w:r>
        <w:rPr/>
        <w:t>Installation Method: Free-lay.</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AE8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