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19D253"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D253" descr="https://www.arcat.com/clients/gfx/laticret.png"/>
                      <pic:cNvPicPr>
                        <a:picLocks noChangeAspect="1" noChangeArrowheads="1"/>
                      </pic:cNvPicPr>
                    </pic:nvPicPr>
                    <pic:blipFill>
                      <a:blip r:link="rId_19D25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3E7694_1" w:history="1">
        <w:tooltip>request info (sldolata@laticrete.com) downloads</w:tooltip>
        <w:r>
          <w:rPr>
            <w:rStyle w:val="Hyperlink"/>
            <w:color w:val="802020"/>
            <w:u w:val="single"/>
          </w:rPr>
          <w:t>request info (sldolata@laticrete.com)</w:t>
        </w:r>
      </w:hyperlink>
      <w:r>
        <w:rPr/>
        <w:t/>
      </w:r>
      <w:r>
        <w:rPr/>
        <w:br/>
        <w:t>Web: </w:t>
      </w:r>
      <w:hyperlink r:id="rId_3E7694_2" w:history="1">
        <w:tooltip>https://laticrete.com/en downloads</w:tooltip>
        <w:r>
          <w:rPr>
            <w:rStyle w:val="Hyperlink"/>
            <w:color w:val="802020"/>
            <w:u w:val="single"/>
          </w:rPr>
          <w:t>https://laticrete.com/en</w:t>
        </w:r>
      </w:hyperlink>
      <w:r>
        <w:rPr/>
        <w:t>  </w:t>
      </w:r>
      <w:r>
        <w:rPr/>
        <w:br/>
        <w:t> [ </w:t>
      </w:r>
      <w:hyperlink r:id="rId_3E7694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and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B61E43_1" w:history="1">
        <w:tooltip>request info (sldolata@laticrete.com) downloads</w:tooltip>
        <w:r>
          <w:rPr>
            <w:rStyle w:val="Hyperlink"/>
            <w:color w:val="802020"/>
            <w:u w:val="single"/>
          </w:rPr>
          <w:t>request info (sldolata@laticrete.com)</w:t>
        </w:r>
      </w:hyperlink>
      <w:r>
        <w:rPr/>
        <w:t>;Web: </w:t>
      </w:r>
      <w:hyperlink r:id="rId_B61E43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257 Titanium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Ready To Use as manufactured by LATICRETE. Ready-to-use grout; sag-resistant, stain and crack resistant, suitable for use in grout joints ranging from 1/16 inch to 1/2 inch (1.6 mm to 12.7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5000 psi (34.5 MPa).</w:t>
      </w:r>
    </w:p>
    <w:p w:rsidR="ABFFABFF" w:rsidRDefault="ABFFABFF" w:rsidP="ABFFABFF">
      <w:pPr>
        <w:pStyle w:val="ARCATSubPara"/>
        <w:numPr>
          <w:ilvl w:val="3"/>
          <w:numId w:val="1"/>
        </w:numPr>
        <w:rPr/>
      </w:pPr>
      <w:r>
        <w:rPr/>
        <w:t>Abrasion Resistance (EN 12808-2): 250 mm3.</w:t>
      </w:r>
    </w:p>
    <w:p w:rsidR="ABFFABFF" w:rsidRDefault="ABFFABFF" w:rsidP="ABFFABFF">
      <w:pPr>
        <w:pStyle w:val="ARCATSubPara"/>
        <w:numPr>
          <w:ilvl w:val="3"/>
          <w:numId w:val="1"/>
        </w:numPr>
        <w:rPr/>
      </w:pPr>
      <w:r>
        <w:rPr/>
        <w:t>24 Hour Hardness (Shore A): 186.</w:t>
      </w:r>
    </w:p>
    <w:p w:rsidR="ABFFABFF" w:rsidRDefault="ABFFABFF" w:rsidP="ABFFABFF">
      <w:pPr>
        <w:pStyle w:val="ARCATSubPara"/>
        <w:numPr>
          <w:ilvl w:val="3"/>
          <w:numId w:val="1"/>
        </w:numPr>
        <w:rPr/>
      </w:pPr>
      <w:r>
        <w:rPr/>
        <w:t>Total VOC Content: Less than 50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MVIS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 NOTE TO SPECIFIER **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 NOTE TO SPECIFIER **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 NOTE TO SPECIFIER **  Different finish types may require different sealers. Impervious ceramic, and porcelain tiles do not require sealing. For finishes other than natural stone, consult Technical Services at 888-786-6343 extension 2, or via email, at </w:t>
      </w:r>
      <w:hyperlink r:id="rId_427E99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D253"
  Type="http://schemas.openxmlformats.org/officeDocument/2006/relationships/image"
  Target="https://www.arcat.com/clients/gfx/laticret.png"
  TargetMode="External"
/>
<Relationship
  Id="rId_3E7694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3E7694_2"
  Type="http://schemas.openxmlformats.org/officeDocument/2006/relationships/hyperlink"
  Target="https://laticrete.com/en"
  TargetMode="External"
/>
<Relationship
  Id="rId_3E7694_3"
  Type="http://schemas.openxmlformats.org/officeDocument/2006/relationships/hyperlink"
  Target="https://arcat.com/company/laticrete-international-inc-33748"
  TargetMode="External"
/>
<Relationship
  Id="rId_B61E43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B61E43_2"
  Type="http://schemas.openxmlformats.org/officeDocument/2006/relationships/hyperlink"
  Target="https://laticrete.com/en"
  TargetMode="External"
/>
<Relationship
  Id="rId_427E99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