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A990B7"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90B7" descr="https://www.arcat.com/clients/gfx/mechosha.png"/>
                      <pic:cNvPicPr>
                        <a:picLocks noChangeAspect="1" noChangeArrowheads="1"/>
                      </pic:cNvPicPr>
                    </pic:nvPicPr>
                    <pic:blipFill>
                      <a:blip r:link="rId_A990B7"/>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731233_1" w:history="1">
        <w:tooltip>request info (marketing@mechoshade.com) downloads</w:tooltip>
        <w:r>
          <w:rPr>
            <w:rStyle w:val="Hyperlink"/>
            <w:color w:val="802020"/>
            <w:u w:val="single"/>
          </w:rPr>
          <w:t>request info (marketing@mechoshade.com)</w:t>
        </w:r>
      </w:hyperlink>
      <w:r>
        <w:rPr/>
        <w:t>;Web: </w:t>
      </w:r>
      <w:hyperlink r:id="rId_731233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90B7"
  Type="http://schemas.openxmlformats.org/officeDocument/2006/relationships/image"
  Target="https://www.arcat.com/clients/gfx/mechosha.png"
  TargetMode="External"
/>
<Relationship
  Id="rId_731233_1"
  Type="http://schemas.openxmlformats.org/officeDocument/2006/relationships/hyperlink"
  Target="https://arcat.com/rfi?action=email&amp;company=Mecho&amp;message=RE%253A%2520Spec%2520Question%2520(09545msi)%253A%2520&amp;coid=34104&amp;spec=09545msi&amp;rep=&amp;fax=718-729-2941"
  TargetMode="External"
/>
<Relationship
  Id="rId_731233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