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2D430E"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430E" descr="https://www.arcat.com/clients/gfx/ppgarch.png"/>
                      <pic:cNvPicPr>
                        <a:picLocks noChangeAspect="1" noChangeArrowheads="1"/>
                      </pic:cNvPicPr>
                    </pic:nvPicPr>
                    <pic:blipFill>
                      <a:blip r:link="rId_2D430E"/>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00.50</w:t>
      </w:r>
    </w:p>
    <w:p>
      <w:pPr>
        <w:pStyle w:val="ARCATTitle"/>
        <w:jc w:val="center"/>
        <w:rPr/>
      </w:pPr>
      <w:r>
        <w:rPr/>
        <w:t>PAINTS AND COATINGS FOR LEED V4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A65063_1" w:history="1">
        <w:tooltip>request info (brian.joyce@ppg.com) downloads</w:tooltip>
        <w:r>
          <w:rPr>
            <w:rStyle w:val="Hyperlink"/>
            <w:color w:val="802020"/>
            <w:u w:val="single"/>
          </w:rPr>
          <w:t>request info (brian.joyce@ppg.com)</w:t>
        </w:r>
      </w:hyperlink>
      <w:r>
        <w:rPr/>
        <w:t/>
      </w:r>
      <w:r>
        <w:rPr/>
        <w:br/>
        <w:t>Web: </w:t>
      </w:r>
      <w:hyperlink r:id="rId_A65063_2" w:history="1">
        <w:tooltip>https://www.ppgpaints.com downloads</w:tooltip>
        <w:r>
          <w:rPr>
            <w:rStyle w:val="Hyperlink"/>
            <w:color w:val="802020"/>
            <w:u w:val="single"/>
          </w:rPr>
          <w:t>https://www.ppgpaints.com</w:t>
        </w:r>
      </w:hyperlink>
      <w:r>
        <w:rPr/>
        <w:t>  </w:t>
      </w:r>
      <w:r>
        <w:rPr/>
        <w:br/>
        <w:t> [ </w:t>
      </w:r>
      <w:hyperlink r:id="rId_A65063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 Standards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The California Air Resources Board (CARB):</w:t>
      </w:r>
    </w:p>
    <w:p w:rsidR="ABFFABFF" w:rsidRDefault="ABFFABFF" w:rsidP="ABFFABFF">
      <w:pPr>
        <w:pStyle w:val="ARCATSubPara"/>
        <w:numPr>
          <w:ilvl w:val="3"/>
          <w:numId w:val="1"/>
        </w:numPr>
        <w:rPr/>
      </w:pPr>
      <w:r>
        <w:rPr/>
        <w:t>CARB (SCM) - Suggested Control Measure for Architectural Coatings; California Air Resources Board 2007.</w:t>
      </w:r>
    </w:p>
    <w:p w:rsidR="ABFFABFF" w:rsidRDefault="ABFFABFF" w:rsidP="ABFFABFF">
      <w:pPr>
        <w:pStyle w:val="ARCATParagraph"/>
        <w:numPr>
          <w:ilvl w:val="2"/>
          <w:numId w:val="1"/>
        </w:numPr>
        <w:rPr/>
      </w:pPr>
      <w:r>
        <w:rPr/>
        <w:t>The South Coast Air Quality Management District (SCAQMD):</w:t>
      </w:r>
    </w:p>
    <w:p w:rsidR="ABFFABFF" w:rsidRDefault="ABFFABFF" w:rsidP="ABFFABFF">
      <w:pPr>
        <w:pStyle w:val="ARCATSubPara"/>
        <w:numPr>
          <w:ilvl w:val="3"/>
          <w:numId w:val="1"/>
        </w:numPr>
        <w:rPr/>
      </w:pPr>
      <w:r>
        <w:rPr/>
        <w:t>SCAQMD 1113 - Architectural Coatings 1977 (Amended 2016).</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LEED v4.1 EQ Credit: Low Emitting Materials, VOC Limits:</w:t>
      </w:r>
    </w:p>
    <w:p w:rsidR="ABFFABFF" w:rsidRDefault="ABFFABFF" w:rsidP="ABFFABFF">
      <w:pPr>
        <w:pStyle w:val="ARCATSubPara"/>
        <w:numPr>
          <w:ilvl w:val="3"/>
          <w:numId w:val="1"/>
        </w:numPr>
        <w:rPr/>
      </w:pPr>
      <w:r>
        <w:rPr/>
        <w:t>Interior Applications: For LEED v4.1 Compliance, 100 percent of paint and coatings products by volume applied to the interior must comply with the wet applied VOC content limits.</w:t>
      </w:r>
    </w:p>
    <w:p>
      <w:pPr>
        <w:pStyle w:val="ARCATnote"/>
        <w:rPr/>
      </w:pPr>
      <w:r>
        <w:rPr/>
        <w:t>** NOTE TO SPECIFIER ** Choose one VOC Content Limit below.</w:t>
      </w:r>
    </w:p>
    <w:p w:rsidR="ABFFABFF" w:rsidRDefault="ABFFABFF" w:rsidP="ABFFABFF">
      <w:pPr>
        <w:pStyle w:val="ARCATSubSub1"/>
        <w:numPr>
          <w:ilvl w:val="4"/>
          <w:numId w:val="1"/>
        </w:numPr>
        <w:rPr/>
      </w:pPr>
      <w:r>
        <w:rPr/>
        <w:t>CARB (SCM): The California Air Resources Board (CARB) 2007 Suggested Control Measure (SCM).</w:t>
      </w:r>
    </w:p>
    <w:p w:rsidR="ABFFABFF" w:rsidRDefault="ABFFABFF" w:rsidP="ABFFABFF">
      <w:pPr>
        <w:pStyle w:val="ARCATSubSub1"/>
        <w:numPr>
          <w:ilvl w:val="4"/>
          <w:numId w:val="1"/>
        </w:numPr>
        <w:rPr/>
      </w:pPr>
      <w:r>
        <w:rPr/>
        <w:t>SCAQMD 1113: The South Coast Air Quality Management District (SCAQMD) Rule 1113, Rule in Effect 2/5/16.</w:t>
      </w:r>
    </w:p>
    <w:p w:rsidR="ABFFABFF" w:rsidRDefault="ABFFABFF" w:rsidP="ABFFABFF">
      <w:pPr>
        <w:pStyle w:val="ARCATParagraph"/>
        <w:numPr>
          <w:ilvl w:val="2"/>
          <w:numId w:val="1"/>
        </w:numPr>
        <w:rPr/>
      </w:pPr>
      <w:r>
        <w:rPr/>
        <w:t>Commonly Used Coatings VOC Limits: Consult CARB or South Coast websites for full category limits.</w:t>
      </w:r>
    </w:p>
    <w:p w:rsidR="ABFFABFF" w:rsidRDefault="ABFFABFF" w:rsidP="ABFFABFF">
      <w:pPr>
        <w:pStyle w:val="ARCATSubPara"/>
        <w:numPr>
          <w:ilvl w:val="3"/>
          <w:numId w:val="1"/>
        </w:numPr>
        <w:rPr/>
      </w:pPr>
      <w:r>
        <w:rPr/>
        <w:t>Coating Category: Flats.</w:t>
      </w:r>
    </w:p>
    <w:p w:rsidR="ABFFABFF" w:rsidRDefault="ABFFABFF" w:rsidP="ABFFABFF">
      <w:pPr>
        <w:pStyle w:val="ARCATSubSub1"/>
        <w:numPr>
          <w:ilvl w:val="4"/>
          <w:numId w:val="1"/>
        </w:numPr>
        <w:rPr/>
      </w:pPr>
      <w:r>
        <w:rPr/>
        <w:t>CARB 2007 SCM VOC Limit: 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Non-Flats.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50grams per Liter</w:t>
      </w:r>
    </w:p>
    <w:p w:rsidR="ABFFABFF" w:rsidRDefault="ABFFABFF" w:rsidP="ABFFABFF">
      <w:pPr>
        <w:pStyle w:val="ARCATSubPara"/>
        <w:numPr>
          <w:ilvl w:val="3"/>
          <w:numId w:val="1"/>
        </w:numPr>
        <w:rPr/>
      </w:pPr>
      <w:r>
        <w:rPr/>
        <w:t>Coating Category: Non-Flat, High Gloss.</w:t>
      </w:r>
    </w:p>
    <w:p w:rsidR="ABFFABFF" w:rsidRDefault="ABFFABFF" w:rsidP="ABFFABFF">
      <w:pPr>
        <w:pStyle w:val="ARCATSubSub1"/>
        <w:numPr>
          <w:ilvl w:val="4"/>
          <w:numId w:val="1"/>
        </w:numPr>
        <w:rPr/>
      </w:pPr>
      <w:r>
        <w:rPr/>
        <w:t>CARB 2007 SCM VOC Limit: 150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Primers, Sealers and Undercoaters.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Floor Coatings.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Industrial Maintenance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Rust Preventive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Paragraph"/>
        <w:numPr>
          <w:ilvl w:val="2"/>
          <w:numId w:val="1"/>
        </w:numPr>
        <w:rPr/>
      </w:pPr>
      <w:r>
        <w:rPr/>
        <w:t>LEED v4.1 EQ Credit: Low Emitting Materials, Emissions Requirement:</w:t>
      </w:r>
    </w:p>
    <w:p w:rsidR="ABFFABFF" w:rsidRDefault="ABFFABFF" w:rsidP="ABFFABFF">
      <w:pPr>
        <w:pStyle w:val="ARCATSubPara"/>
        <w:numPr>
          <w:ilvl w:val="3"/>
          <w:numId w:val="1"/>
        </w:numPr>
        <w:rPr/>
      </w:pPr>
      <w:r>
        <w:rPr/>
        <w:t>Interior Applications: For LEED v4.1 compliance, 75 percent of paint and coatings products by volume applied to the interior must comply with emissions requirements.</w:t>
      </w:r>
    </w:p>
    <w:p w:rsidR="ABFFABFF" w:rsidRDefault="ABFFABFF" w:rsidP="ABFFABFF">
      <w:pPr>
        <w:pStyle w:val="ARCATSubPara"/>
        <w:numPr>
          <w:ilvl w:val="3"/>
          <w:numId w:val="1"/>
        </w:numPr>
        <w:rPr/>
      </w:pPr>
      <w:r>
        <w:rPr/>
        <w:t>To demonstrate compliance, a product or layer containing paint must meet the following requirement, as applicable, with regard to emissions:</w:t>
      </w:r>
    </w:p>
    <w:p w:rsidR="ABFFABFF" w:rsidRDefault="ABFFABFF" w:rsidP="ABFFABFF">
      <w:pPr>
        <w:pStyle w:val="ARCATParagraph"/>
        <w:numPr>
          <w:ilvl w:val="2"/>
          <w:numId w:val="1"/>
        </w:numPr>
        <w:rPr/>
      </w:pPr>
      <w:r>
        <w:rPr/>
        <w:t>LEED v4.1 MR Credit: Building Product Disclosure and OptimizationEnvironmental Product Declarations.</w:t>
      </w:r>
    </w:p>
    <w:p w:rsidR="ABFFABFF" w:rsidRDefault="ABFFABFF" w:rsidP="ABFFABFF">
      <w:pPr>
        <w:pStyle w:val="ARCATSubPara"/>
        <w:numPr>
          <w:ilvl w:val="3"/>
          <w:numId w:val="1"/>
        </w:numPr>
        <w:rPr/>
      </w:pPr>
      <w:r>
        <w:rPr/>
        <w:t>Option 1. Environmental Product Declaration (EPD) (1 point): Use at least 20 different permanently installed products sourced from at least five different manufacturers that meet one of the disclosure criteria below.</w:t>
      </w:r>
    </w:p>
    <w:p w:rsidR="ABFFABFF" w:rsidRDefault="ABFFABFF" w:rsidP="ABFFABFF">
      <w:pPr>
        <w:pStyle w:val="ARCATSubSub1"/>
        <w:numPr>
          <w:ilvl w:val="4"/>
          <w:numId w:val="1"/>
        </w:numPr>
        <w:rPr/>
      </w:pPr>
      <w:r>
        <w:rPr/>
        <w:t>Product Specific Type III EPD -- Products with third-party certification (Type III), including external verification in which the manufacturer is explicitly recognized as the participant by the program operator are valued as one whole product for purposes of credit achievement calculation.</w:t>
      </w:r>
    </w:p>
    <w:p>
      <w:pPr>
        <w:pStyle w:val="ARCATnote"/>
        <w:rPr/>
      </w:pPr>
      <w:r>
        <w:rPr/>
        <w:t>** NOTE TO SPECIFIER ** Consult your PPG Architect or Sales Representative for manufacturing site and/or point of purchase location. In most instances PPG should be able to provide product to within 100 miles of the project site from the point of purchase.</w:t>
      </w:r>
    </w:p>
    <w:p w:rsidR="ABFFABFF" w:rsidRDefault="ABFFABFF" w:rsidP="ABFFABFF">
      <w:pPr>
        <w:pStyle w:val="ARCATParagraph"/>
        <w:numPr>
          <w:ilvl w:val="2"/>
          <w:numId w:val="1"/>
        </w:numPr>
        <w:rPr/>
      </w:pPr>
      <w:r>
        <w:rPr/>
        <w:t>LEED v4.1 MR Credit: Building Product Disclosure and Optimization--Material Ingredients</w:t>
      </w:r>
    </w:p>
    <w:p w:rsidR="ABFFABFF" w:rsidRDefault="ABFFABFF" w:rsidP="ABFFABFF">
      <w:pPr>
        <w:pStyle w:val="ARCATSubPara"/>
        <w:numPr>
          <w:ilvl w:val="3"/>
          <w:numId w:val="1"/>
        </w:numPr>
        <w:rPr/>
      </w:pPr>
      <w:r>
        <w:rPr/>
        <w:t>Option 1. Material Ingredient Reporting (1 point): Use at least 20 different permanently installed products from at least five different manufacturers that use any of the following programs to demonstrate the chemical inventory of the product to at least 0.1 percent (1000 ppm).</w:t>
      </w:r>
    </w:p>
    <w:p w:rsidR="ABFFABFF" w:rsidRDefault="ABFFABFF" w:rsidP="ABFFABFF">
      <w:pPr>
        <w:pStyle w:val="ARCATSubSub1"/>
        <w:numPr>
          <w:ilvl w:val="4"/>
          <w:numId w:val="1"/>
        </w:numPr>
        <w:rPr/>
      </w:pPr>
      <w:r>
        <w:rPr/>
        <w:t>Health Product Declaration (HPD). The end use product has a published, complete Health Product Declaration with full disclosure of known hazards in compliance with the Health Product Declaration open Standard.</w:t>
      </w:r>
    </w:p>
    <w:p>
      <w:pPr>
        <w:pStyle w:val="ARCATnote"/>
        <w:rPr/>
      </w:pPr>
      <w:r>
        <w:rPr/>
        <w:t>** NOTE TO SPECIFIER ** Delete article if not required.</w:t>
      </w:r>
    </w:p>
    <w:p w:rsidR="ABFFABFF" w:rsidRDefault="ABFFABFF" w:rsidP="ABFFABFF">
      <w:pPr>
        <w:pStyle w:val="ARCATArticle"/>
        <w:numPr>
          <w:ilvl w:val="1"/>
          <w:numId w:val="1"/>
        </w:numPr>
        <w:rPr/>
      </w:pPr>
      <w:r>
        <w:rPr/>
        <w:t>CONCRETE MASONRY UNIT BLOCK FILLER</w:t>
      </w:r>
    </w:p>
    <w:p w:rsidR="ABFFABFF" w:rsidRDefault="ABFFABFF" w:rsidP="ABFFABFF">
      <w:pPr>
        <w:pStyle w:val="ARCATParagraph"/>
        <w:numPr>
          <w:ilvl w:val="2"/>
          <w:numId w:val="1"/>
        </w:numPr>
        <w:rPr/>
      </w:pPr>
      <w:r>
        <w:rPr/>
        <w:t>Concrete Masonry Unit Block Filler: Factory formulated high-performance latex block fillers.</w:t>
      </w:r>
    </w:p>
    <w:p w:rsidR="ABFFABFF" w:rsidRDefault="ABFFABFF" w:rsidP="ABFFABFF">
      <w:pPr>
        <w:pStyle w:val="ARCATSubPara"/>
        <w:numPr>
          <w:ilvl w:val="3"/>
          <w:numId w:val="1"/>
        </w:numPr>
        <w:rPr/>
      </w:pPr>
      <w:r>
        <w:rPr/>
        <w:t>PPG Paints; 6-15XI Speedhide Interior/Exterior Acrylic Masonry Block Filler (48 g/L VOC).</w:t>
      </w:r>
    </w:p>
    <w:p w:rsidR="ABFFABFF" w:rsidRDefault="ABFFABFF" w:rsidP="ABFFABFF">
      <w:pPr>
        <w:pStyle w:val="ARCATSubSub1"/>
        <w:numPr>
          <w:ilvl w:val="4"/>
          <w:numId w:val="1"/>
        </w:numPr>
        <w:rPr/>
      </w:pPr>
      <w:r>
        <w:rPr/>
        <w:t>Applied dry film thickness of not less than 7.0 mils (0.178 mm).</w:t>
      </w:r>
    </w:p>
    <w:p>
      <w:pPr>
        <w:pStyle w:val="ARCATnote"/>
        <w:rPr/>
      </w:pPr>
      <w:r>
        <w:rPr/>
        <w:t>** NOTE TO SPECIFIER ** Delete article if not required.</w:t>
      </w:r>
    </w:p>
    <w:p w:rsidR="ABFFABFF" w:rsidRDefault="ABFFABFF" w:rsidP="ABFFABFF">
      <w:pPr>
        <w:pStyle w:val="ARCATArticle"/>
        <w:numPr>
          <w:ilvl w:val="1"/>
          <w:numId w:val="1"/>
        </w:numPr>
        <w:rPr/>
      </w:pPr>
      <w:r>
        <w:rPr/>
        <w:t>INTERIOR PRIMERS</w:t>
      </w:r>
    </w:p>
    <w:p>
      <w:pPr>
        <w:pStyle w:val="ARCATnote"/>
        <w:rPr/>
      </w:pPr>
      <w:r>
        <w:rPr/>
        <w:t>** NOTE TO SPECIFIER ** Delete paragraph if not required.</w:t>
      </w:r>
    </w:p>
    <w:p w:rsidR="ABFFABFF" w:rsidRDefault="ABFFABFF" w:rsidP="ABFFABFF">
      <w:pPr>
        <w:pStyle w:val="ARCATParagraph"/>
        <w:numPr>
          <w:ilvl w:val="2"/>
          <w:numId w:val="1"/>
        </w:numPr>
        <w:rPr/>
      </w:pPr>
      <w:r>
        <w:rPr/>
        <w:t>Interior Concrete and Masonry Primer: Factory-formulated alkali-resistant acrylic-latex interior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4-603XI Perma-Crete Interior/Exterior Alkali Resistant Primer (Less than 100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Gypsum Board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Plaster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9-900 Series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Wood Primer: Factory-formulated acrylic-latex-based interior wood primer.</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Ferrous, Non-Ferrous, Galvanized Metal, and Aluminum Primer: Factory-formulated acrylic water-based rust-inhibitive metal primer.</w:t>
      </w:r>
    </w:p>
    <w:p w:rsidR="ABFFABFF" w:rsidRDefault="ABFFABFF" w:rsidP="ABFFABFF">
      <w:pPr>
        <w:pStyle w:val="ARCATSubPara"/>
        <w:numPr>
          <w:ilvl w:val="3"/>
          <w:numId w:val="1"/>
        </w:numPr>
        <w:rPr/>
      </w:pPr>
      <w:r>
        <w:rPr/>
        <w:t>PPG Paints; 90-1912 Series Pitt-Tech Plus EP Interior/Exterior DTM Industrial Primer (less than 50 g/L VOC).</w:t>
      </w:r>
    </w:p>
    <w:p w:rsidR="ABFFABFF" w:rsidRDefault="ABFFABFF" w:rsidP="ABFFABFF">
      <w:pPr>
        <w:pStyle w:val="ARCATSubSub1"/>
        <w:numPr>
          <w:ilvl w:val="4"/>
          <w:numId w:val="1"/>
        </w:numPr>
        <w:rPr/>
      </w:pPr>
      <w:r>
        <w:rPr/>
        <w:t>Applied dry film thickness of not less than 2.0 mils (0.050 mm).</w:t>
      </w:r>
    </w:p>
    <w:p>
      <w:pPr>
        <w:pStyle w:val="ARCATnote"/>
        <w:rPr/>
      </w:pPr>
      <w:r>
        <w:rPr/>
        <w:t>** NOTE TO SPECIFIER ** Delete articles not required.</w:t>
      </w:r>
    </w:p>
    <w:p w:rsidR="ABFFABFF" w:rsidRDefault="ABFFABFF" w:rsidP="ABFFABFF">
      <w:pPr>
        <w:pStyle w:val="ARCATArticle"/>
        <w:numPr>
          <w:ilvl w:val="1"/>
          <w:numId w:val="1"/>
        </w:numPr>
        <w:rPr/>
      </w:pPr>
      <w:r>
        <w:rPr/>
        <w:t>INTERIOR FINISH COATS</w:t>
      </w:r>
    </w:p>
    <w:p>
      <w:pPr>
        <w:pStyle w:val="ARCATnote"/>
        <w:rPr/>
      </w:pPr>
      <w:r>
        <w:rPr/>
        <w:t>** NOTE TO SPECIFIER ** Delete paragraphs not required.</w:t>
      </w:r>
    </w:p>
    <w:p w:rsidR="ABFFABFF" w:rsidRDefault="ABFFABFF" w:rsidP="ABFFABFF">
      <w:pPr>
        <w:pStyle w:val="ARCATParagraph"/>
        <w:numPr>
          <w:ilvl w:val="2"/>
          <w:numId w:val="1"/>
        </w:numPr>
        <w:rPr/>
      </w:pPr>
      <w:r>
        <w:rPr/>
        <w:t>Interior Flat Latex (Gloss Level 1): Factory-formulated flat acrylic latex-based interior paint.</w:t>
      </w:r>
    </w:p>
    <w:p>
      <w:pPr>
        <w:pStyle w:val="ARCATnote"/>
        <w:rPr/>
      </w:pPr>
      <w:r>
        <w:rPr/>
        <w:t>** NOTE TO SPECIFIER ** Delete subparagraphs not required.</w:t>
      </w:r>
    </w:p>
    <w:p w:rsidR="ABFFABFF" w:rsidRDefault="ABFFABFF" w:rsidP="ABFFABFF">
      <w:pPr>
        <w:pStyle w:val="ARCATSubPara"/>
        <w:numPr>
          <w:ilvl w:val="3"/>
          <w:numId w:val="1"/>
        </w:numPr>
        <w:rPr/>
      </w:pPr>
      <w:r>
        <w:rPr/>
        <w:t>PPG Paints; 12-110XI Series Speedhide Pro-EV Zero Interior Wall and Ceiling Latex Flat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6-0011 Series Speedhide Interior Latex Ultra Flat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6-70 Series Speedhide Interior Wall Flat-Latex Paint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6-5110 Series Speedhide Zero Interior Zero VOC Latex Flat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9-110XI Series Pure Performance Paint and Primer in One Flat Latex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84-3110 Series Prominence Interior Latex Flat (0 g/L VOC).</w:t>
      </w:r>
    </w:p>
    <w:p w:rsidR="ABFFABFF" w:rsidRDefault="ABFFABFF" w:rsidP="ABFFABFF">
      <w:pPr>
        <w:pStyle w:val="ARCATSubSub1"/>
        <w:numPr>
          <w:ilvl w:val="4"/>
          <w:numId w:val="1"/>
        </w:numPr>
        <w:rPr/>
      </w:pPr>
      <w:r>
        <w:rPr/>
        <w:t>Applied dry film thickness of not less than 1.8 mils (0.046 mm).</w:t>
      </w:r>
    </w:p>
    <w:p w:rsidR="ABFFABFF" w:rsidRDefault="ABFFABFF" w:rsidP="ABFFABFF">
      <w:pPr>
        <w:pStyle w:val="ARCATParagraph"/>
        <w:numPr>
          <w:ilvl w:val="2"/>
          <w:numId w:val="1"/>
        </w:numPr>
        <w:rPr/>
      </w:pPr>
      <w:r>
        <w:rPr/>
        <w:t>Interior Low-Sheen Acrylic Enamel (Gloss Level 2): Factory-formulated low-sheen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12-310XI Series Speedhide Pro-EV Zero Interior Wall and Ceiling Latex Eggshell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6-4101 Series Speedhide Interior Latex Low Sheen Eggshell (less than 50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6-411 Series Speedhide Acrylic Latex Enamel Eggshell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6-5310 Series Speedhide Zero Interior Latex Eggshell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9-310XI Series Pure Performance Paint and Primer in One Latex Eggshell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84-3310 Series Prominence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Eggshell Acrylic Enamel (Gloss Level 3): Factory-formulated eggshell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6-3511 Series Speedhide Interior Latex Satin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6-5410 Series Speedhide Zero Interior Zero VOC Latex Satin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84-3410 Series Prominence Interior Latex Satin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29-1310 Copper Armor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Satin Acrylic Enamel (Gloss Level 4): Factory-formulated satin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6-3011 Series Speedhide Interior Latex Lo Lustre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V52-410 Series Break-Through Interior/Exterior Water-Borne Acrylic Satin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90-1710 Pitt-Tech Plus EP Interior/Exterior DTM Industrial Enamel Satin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Semi-Gloss Acrylic Enamel (Gloss Level 5): Factory-formulated semi-gloss acrylic-latex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12-510XI Series Speedhide Pro-EV Zero Interior Wall and Ceiling Latex Semi-Gloss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6-500 Series Speedhide Interior Latex Semi-Gloss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6-5510 Series Speedhide Zero Interior Zero VOC Latex Semi-Gloss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9-510XI Series Pure Performance Paint and Primer in One Latex Semi-Gloss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84-3510 Series Prominence Interior Latex Semi-Gloss (0 g/L VOC).</w:t>
      </w:r>
    </w:p>
    <w:p w:rsidR="ABFFABFF" w:rsidRDefault="ABFFABFF" w:rsidP="ABFFABFF">
      <w:pPr>
        <w:pStyle w:val="ARCATSubSub1"/>
        <w:numPr>
          <w:ilvl w:val="4"/>
          <w:numId w:val="1"/>
        </w:numPr>
        <w:rPr/>
      </w:pPr>
      <w:r>
        <w:rPr/>
        <w:t>Applied dry film thickness of not less than 1.6 mils (0.0410 mm).</w:t>
      </w:r>
    </w:p>
    <w:p w:rsidR="ABFFABFF" w:rsidRDefault="ABFFABFF" w:rsidP="ABFFABFF">
      <w:pPr>
        <w:pStyle w:val="ARCATSubPara"/>
        <w:numPr>
          <w:ilvl w:val="3"/>
          <w:numId w:val="1"/>
        </w:numPr>
        <w:rPr/>
      </w:pPr>
      <w:r>
        <w:rPr/>
        <w:t>PPG Paints; 90-1610 Series Pitt-Tech Plus EPInterior/Exterior DTM Industrial Enamel Semi-Gloss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V62-510 Series Break-Through Interior/Exterior Water-Borne Acrylic Semi-Gloss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29-1510 Copper Armor Interior Latex Semi-Gloss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98E-1/98E-100 Aquapon WB EP Epoxy Semi-Gloss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Full-Gloss Acrylic Enamel (Gloss Level 6): Factory-formulated full-gloss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V72-610 Series Break-Through Interior/Exterior Water-Borne Acrylic 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90-1510 Pitt-Tech Plus EP Interior/Exterior DTM Industrial Enamel 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98E-1/98E-98 Aquapon WB EP Epoxy 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Eggshell Water Borne Acrylic Epoxy:</w:t>
      </w:r>
    </w:p>
    <w:p w:rsidR="ABFFABFF" w:rsidRDefault="ABFFABFF" w:rsidP="ABFFABFF">
      <w:pPr>
        <w:pStyle w:val="ARCATSubPara"/>
        <w:numPr>
          <w:ilvl w:val="3"/>
          <w:numId w:val="1"/>
        </w:numPr>
        <w:rPr/>
      </w:pPr>
      <w:r>
        <w:rPr/>
        <w:t>PPG Paints; 16-310 Series Pitt-Glaze WB1 Interior Pre-Catalyzed Water-Borne Acrylic Epoxy Eggshell (95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Semi-Gloss Water Borne Acrylic Epoxy:</w:t>
      </w:r>
    </w:p>
    <w:p w:rsidR="ABFFABFF" w:rsidRDefault="ABFFABFF" w:rsidP="ABFFABFF">
      <w:pPr>
        <w:pStyle w:val="ARCATSubPara"/>
        <w:numPr>
          <w:ilvl w:val="3"/>
          <w:numId w:val="1"/>
        </w:numPr>
        <w:rPr/>
      </w:pPr>
      <w:r>
        <w:rPr/>
        <w:t>PPG Paints; 16-510 Series Pitt-Glaze WB1 Interior Pre-Catalyzed Water-Borne Acrylic Epoxy Semi-Gloss (97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Flat Waterborne Acrylic Dry Fog:</w:t>
      </w:r>
    </w:p>
    <w:p w:rsidR="ABFFABFF" w:rsidRDefault="ABFFABFF" w:rsidP="ABFFABFF">
      <w:pPr>
        <w:pStyle w:val="ARCATSubPara"/>
        <w:numPr>
          <w:ilvl w:val="3"/>
          <w:numId w:val="1"/>
        </w:numPr>
        <w:rPr/>
      </w:pPr>
      <w:r>
        <w:rPr/>
        <w:t>PPG Paints; 6-725XI Speedhide Super-Tech WB Interior Dry Fog Latex Flat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Eggshell Waterborne Acrylic Dry Fog:</w:t>
      </w:r>
    </w:p>
    <w:p w:rsidR="ABFFABFF" w:rsidRDefault="ABFFABFF" w:rsidP="ABFFABFF">
      <w:pPr>
        <w:pStyle w:val="ARCATSubPara"/>
        <w:numPr>
          <w:ilvl w:val="3"/>
          <w:numId w:val="1"/>
        </w:numPr>
        <w:rPr/>
      </w:pPr>
      <w:r>
        <w:rPr/>
        <w:t>PPG Paints; 6-724XI Speedhide Super-Tech WB Interior Dry Fog Latex Eggshell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Semi-Gloss Waterborne Acrylic Dry Fog:</w:t>
      </w:r>
    </w:p>
    <w:p w:rsidR="ABFFABFF" w:rsidRDefault="ABFFABFF" w:rsidP="ABFFABFF">
      <w:pPr>
        <w:pStyle w:val="ARCATSubPara"/>
        <w:numPr>
          <w:ilvl w:val="3"/>
          <w:numId w:val="1"/>
        </w:numPr>
        <w:rPr/>
      </w:pPr>
      <w:r>
        <w:rPr/>
        <w:t>PPG Paints; 6-727XI Series Speedhide Super Tech WB Interior Dry Fog Latex Semi-Gloss (less than 50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Interior/Exterior High Performance Satin Polysiloxane:</w:t>
      </w:r>
    </w:p>
    <w:p w:rsidR="ABFFABFF" w:rsidRDefault="ABFFABFF" w:rsidP="ABFFABFF">
      <w:pPr>
        <w:pStyle w:val="ARCATSubPara"/>
        <w:numPr>
          <w:ilvl w:val="3"/>
          <w:numId w:val="1"/>
        </w:numPr>
        <w:rPr/>
      </w:pPr>
      <w:r>
        <w:rPr/>
        <w:t>PPG Paints; PSX 805 Engineered Siloxane Satin (75 g/L VOC).</w:t>
      </w:r>
    </w:p>
    <w:p w:rsidR="ABFFABFF" w:rsidRDefault="ABFFABFF" w:rsidP="ABFFABFF">
      <w:pPr>
        <w:pStyle w:val="ARCATSubSub1"/>
        <w:numPr>
          <w:ilvl w:val="4"/>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substrates not required.</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rsidR="ABFFABFF" w:rsidRDefault="ABFFABFF" w:rsidP="ABFFABFF">
      <w:pPr>
        <w:pStyle w:val="ARCATSubSub1"/>
        <w:numPr>
          <w:ilvl w:val="4"/>
          <w:numId w:val="1"/>
        </w:numPr>
        <w:rPr/>
      </w:pPr>
      <w:r>
        <w:rPr/>
        <w:t>Blast-clean steel surfaces as recommended by coating manufacturer and according to SSPC-SP 6.</w:t>
      </w:r>
    </w:p>
    <w:p w:rsidR="ABFFABFF" w:rsidRDefault="ABFFABFF" w:rsidP="ABFFABFF">
      <w:pPr>
        <w:pStyle w:val="ARCATSubSub1"/>
        <w:numPr>
          <w:ilvl w:val="4"/>
          <w:numId w:val="1"/>
        </w:numPr>
        <w:rPr/>
      </w:pPr>
      <w:r>
        <w:rPr/>
        <w:t>Treat bare and sandblasted or pickled clean metal with a metal treatment wash coat before priming.</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430E"
  Type="http://schemas.openxmlformats.org/officeDocument/2006/relationships/image"
  Target="https://www.arcat.com/clients/gfx/ppgarch.png"
  TargetMode="External"
/>
<Relationship
  Id="rId_A65063_1"
  Type="http://schemas.openxmlformats.org/officeDocument/2006/relationships/hyperlink"
  Target="https://arcat.com/rfi?action=email&amp;company=PPG%252BArchitectural%252BFinishes%252C%252BIncorporated%252B-%252BPPG%252BPaints&amp;message=RE%253A%2520Spec%2520Question%2520(09901ppg)%253A%2520&amp;coid=41841&amp;spec=09901ppg&amp;rep=&amp;fax=888-434-3127"
  TargetMode="External"
/>
<Relationship
  Id="rId_A65063_2"
  Type="http://schemas.openxmlformats.org/officeDocument/2006/relationships/hyperlink"
  Target="https://www.ppgpaints.com"
  TargetMode="External"
/>
<Relationship
  Id="rId_A65063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