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FCDA24"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DA24" descr="https://www.arcat.com/clients/gfx/artisan_custom_doorworks.png"/>
                      <pic:cNvPicPr>
                        <a:picLocks noChangeAspect="1" noChangeArrowheads="1"/>
                      </pic:cNvPicPr>
                    </pic:nvPicPr>
                    <pic:blipFill>
                      <a:blip r:link="rId_FCDA2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64F13F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DA1724_1" w:history="1">
        <w:tooltip>request info (matt@artisandoorworks.com) downloads</w:tooltip>
        <w:r>
          <w:rPr>
            <w:rStyle w:val="Hyperlink"/>
            <w:color w:val="802020"/>
            <w:u w:val="single"/>
          </w:rPr>
          <w:t>request info (matt@artisandoorworks.com)</w:t>
        </w:r>
      </w:hyperlink>
      <w:r>
        <w:rPr/>
        <w:t>;Web: </w:t>
      </w:r>
      <w:hyperlink r:id="rId_DA1724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DA24"
  Type="http://schemas.openxmlformats.org/officeDocument/2006/relationships/image"
  Target="https://www.arcat.com/clients/gfx/artisan_custom_doorworks.png"
  TargetMode="External"
/>
<Relationship
  Id="rId_64F13F_1"
  Type="http://schemas.openxmlformats.org/officeDocument/2006/relationships/hyperlink"
  Target="https://artisandoorworks.com"
  TargetMode="External"
/>
<Relationship
  Id="rId_DA1724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DA1724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