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A5F6AC"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F6AC" descr="https://www.arcat.com/clients/gfx/marshiel.png"/>
                      <pic:cNvPicPr>
                        <a:picLocks noChangeAspect="1" noChangeArrowheads="1"/>
                      </pic:cNvPicPr>
                    </pic:nvPicPr>
                    <pic:blipFill>
                      <a:blip r:link="rId_A5F6AC"/>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AB8161_1" w:history="1">
        <w:tooltip>sales@marsmetal.com downloads</w:tooltip>
        <w:r>
          <w:rPr>
            <w:rStyle w:val="Hyperlink"/>
            <w:color w:val="802020"/>
            <w:u w:val="single"/>
          </w:rPr>
          <w:t>sales@marsmetal.com</w:t>
        </w:r>
      </w:hyperlink>
      <w:r>
        <w:rPr/>
        <w:t> . </w:t>
      </w:r>
      <w:r>
        <w:rPr/>
        <w:br/>
        <w:t> Web: </w:t>
      </w:r>
      <w:hyperlink r:id="rId_AB8161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4FBBBE_1" w:history="1">
        <w:tooltip>request info (Sales@MarShield.com) downloads</w:tooltip>
        <w:r>
          <w:rPr>
            <w:rStyle w:val="Hyperlink"/>
            <w:color w:val="802020"/>
            <w:u w:val="single"/>
          </w:rPr>
          <w:t>request info (Sales@MarShield.com)</w:t>
        </w:r>
      </w:hyperlink>
      <w:r>
        <w:rPr/>
        <w:t>;Web: </w:t>
      </w:r>
      <w:hyperlink r:id="rId_4FBBBE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F6AC"
  Type="http://schemas.openxmlformats.org/officeDocument/2006/relationships/image"
  Target="https://www.arcat.com/clients/gfx/marshiel.png"
  TargetMode="External"
/>
<Relationship
  Id="rId_AB8161_1"
  Type="http://schemas.openxmlformats.org/officeDocument/2006/relationships/hyperlink"
  Target="mailto:sales@marsmetal.com"
  TargetMode="External"
/>
<Relationship
  Id="rId_AB8161_2"
  Type="http://schemas.openxmlformats.org/officeDocument/2006/relationships/hyperlink"
  Target="http://www.marshield.com."
  TargetMode="External"
/>
<Relationship
  Id="rId_4FBBBE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4FBBBE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