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4447DC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4447DC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4447DC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25 00</w:t>
      </w:r>
    </w:p>
    <w:p>
      <w:pPr>
        <w:pStyle w:val="ARCATTitle"/>
        <w:jc w:val="center"/>
        <w:rPr/>
      </w:pPr>
      <w:r>
        <w:rPr/>
        <w:t>WEATHER BARRIERS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2019 - 2019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69F2DA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69F2DA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69F2DA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Vapor retarders.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15 00 - Wood Decking.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D779 - Standard Test Method for Water Resistance of Paper, Paperboard and Other Sheet Materials by the Dry Indicator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D5034 - Standard Test Method for Breaking Strength and Elongation of Textile Fabrics (Grab Test).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Methods for Water Vapor Transmission of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E2178 - Standard Test Method for Air Permeance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E2273 - Standard Test Method for Determining the Drainage Efficiency of Exterior Insulation and Finish Systems (EIFS) Clad Wall Assemblies.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AC38 - Water Resistive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Oregon Residential Specialty Code: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Section R703.1 for drainage housewrap products.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Standards Compliance: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AC38: ICC-ESR-3641 comply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UV exposure: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Accelerated aging: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Low temperature bend/pliability: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for Water Vapor Transmission.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for Air Permeance.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 Resistance per ASTM D779: Pass 60 minutes as is and aged.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Tensile Strength per ASTM D5034: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Machine direction: 50 pounds-force (222.4 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Cross direction: 40 pounds-force (178 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Drainage Efficiency per ASTM D2273 and Oregon Residential Specialty Code Section R703.1: 98 percent.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 Burning Characteristics per ASTM E84: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spread: Class 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Smoke developed: Class A.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VAPOR RETARDERS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BLOCK-IT House Wrap; as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 Microporous film laminated to spunbound polypropylene fabric composed of small denier fibers, including olefin.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Weight per ASTM D3776: 3.24 ounce per square yard (110 grams per square meter).</w:t>
      </w:r>
    </w:p>
    <w:p>
      <w:pPr>
        <w:pStyle w:val="ARCATnote"/>
        <w:rPr/>
      </w:pPr>
      <w:r>
        <w:rPr/>
        <w:t>** NOTE TO SPECIFIER ** Contact manufacturer's representative to determine availability of roll sizes suitable for project in your area.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3 feet (914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100 feet (30.48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150 feet (45.72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_____.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 Fasteners: Cap nails or staples in accordance with vapor retarder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Sealing Tape: Self-adhesive acrylic seam sealing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Flashing Tape: Flashing tape with acrylic or butyl adhesive in accordance with manufacturer's written recommendations.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vapor retarder over saturated substrate.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Start at corner and install vapor retarder in shingle fashion with fabric side facing exterior.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continues beyond band joist and extends 2 inches (51 mm) minimum below frame to foundation intersection.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in place using cap nails or staples at 24 inches (610 mm) on center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fasteners are 4inches minimum away from material edges and 12 inches (305 mm) minimum away from top of doors and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6 inches minimum overlap at horizontal joint and 12 inches (305 mm) minimum overlap at vertical joints.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vapor retarder beyond attic and other unoccupied spaces to roofline and under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integrates correctly with flashing.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vapor retarder at intersection of wall and 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Overlap edges 24 inches (610 mm) minimum beyond corner if seams fall within 16 inches (406 mm) of exterior corner of structure.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 vapor retarder at windows, doors and other penetrations in accordance with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 around penetrations with flashing tape. Apply flashing tape to vertical edges of vapor retarder flap in accordance with manufacturer's written recommendations.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small tears less than 6 inches (152 mm) long in vapor retarder with sealing tape.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tears longer than 6 inches (152 mm) by cutting flap in vapor retarder 2 inches (51 mm) minimum beyond bottom and sides of tear.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Insert wider piece of vapor retarder under flap, shingle style and seal edges.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cover repairs with other work before receipt of approval from Architect.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25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4447DC"
  Type="http://schemas.openxmlformats.org/officeDocument/2006/relationships/image"
  Target="https://www.arcat.com/clients/gfx/wolf.png"
  TargetMode="External"
/>
<Relationship
  Id="rId_69F2DA_1"
  Type="http://schemas.openxmlformats.org/officeDocument/2006/relationships/hyperlink"
  Target="https://arcat.com/rfi?action=email&amp;company=Wolf%252BHome%252BProducts&amp;message=RE%253A%2520Spec%2520Question%2520(07250whp)%253A%2520&amp;coid=52495&amp;spec=07250whp&amp;rep=&amp;fax="
  TargetMode="External"
/>
<Relationship
  Id="rId_69F2DA_2"
  Type="http://schemas.openxmlformats.org/officeDocument/2006/relationships/hyperlink"
  Target="https://www.wolfhomeproducts.com"
  TargetMode="External"
/>
<Relationship
  Id="rId_69F2DA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