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72 00</w:t>
      </w:r>
      <w:r>
        <w:rPr/>
        <w:br/>
        <w:t/>
      </w:r>
    </w:p>
    <w:p>
      <w:pPr>
        <w:pStyle w:val="ARCATTitle"/>
        <w:jc w:val="center"/>
        <w:rPr/>
      </w:pPr>
      <w:r>
        <w:rPr/>
        <w:t>GENERAL CONDITIONS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General Conditions:  AIA A201, General Conditions of the Contract for Construction.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General Conditions:  AIA A271, General Conditions of the Contract for Furniture, Furnishings and Equipment.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General Conditions Forms:  General Conditions are available from the American Institute of Architects, Washington, D.C., 202-626-7300. General Conditions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72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