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BD4139"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4139" descr="https://www.arcat.com/clients/gfx/centria.png"/>
                      <pic:cNvPicPr>
                        <a:picLocks noChangeAspect="1" noChangeArrowheads="1"/>
                      </pic:cNvPicPr>
                    </pic:nvPicPr>
                    <pic:blipFill>
                      <a:blip r:link="rId_BD413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at:700 State Hwy. 121 , Suite 200Lewisville, TX 75067Toll Free Tel: 800-759-7474Email: </w:t>
      </w:r>
      <w:hyperlink r:id="rId_B0F18F_1" w:history="1">
        <w:tooltip>request info (info@centria.com) downloads</w:tooltip>
        <w:r>
          <w:rPr>
            <w:rStyle w:val="Hyperlink"/>
            <w:color w:val="802020"/>
            <w:u w:val="single"/>
          </w:rPr>
          <w:t>request info (info@centria.com)</w:t>
        </w:r>
      </w:hyperlink>
      <w:r>
        <w:rPr/>
        <w:t/>
      </w:r>
      <w:r>
        <w:rPr/>
        <w:br/>
        <w:t>Web: </w:t>
      </w:r>
      <w:hyperlink r:id="rId_B0F18F_2" w:history="1">
        <w:tooltip>https://www.centria.com downloads</w:tooltip>
        <w:r>
          <w:rPr>
            <w:rStyle w:val="Hyperlink"/>
            <w:color w:val="802020"/>
            <w:u w:val="single"/>
          </w:rPr>
          <w:t>https://www.centria.com</w:t>
        </w:r>
      </w:hyperlink>
      <w:r>
        <w:rPr/>
        <w:t>  </w:t>
      </w:r>
      <w:r>
        <w:rPr/>
        <w:br/>
        <w:t> [ </w:t>
      </w:r>
      <w:hyperlink r:id="rId_B0F18F_3" w:history="1">
        <w:tooltip>Click Here downloads</w:tooltip>
        <w:r>
          <w:rPr>
            <w:rStyle w:val="Hyperlink"/>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_B3F779_1" w:history="1">
        <w:tooltip>www.c2ccertified.com downloads</w:tooltip>
        <w:r>
          <w:rPr>
            <w:rStyle w:val="Hyperlink"/>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AD8309_1" w:history="1">
        <w:tooltip>request info (info@centria.com) downloads</w:tooltip>
        <w:r>
          <w:rPr>
            <w:rStyle w:val="Hyperlink"/>
            <w:color w:val="802020"/>
            <w:u w:val="single"/>
          </w:rPr>
          <w:t>request info (info@centria.com)</w:t>
        </w:r>
      </w:hyperlink>
      <w:r>
        <w:rPr/>
        <w:t>;Web: </w:t>
      </w:r>
      <w:hyperlink r:id="rId_AD8309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ACCESSORIES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4139"
  Type="http://schemas.openxmlformats.org/officeDocument/2006/relationships/image"
  Target="https://www.arcat.com/clients/gfx/centria.png"
  TargetMode="External"
/>
<Relationship
  Id="rId_B0F18F_1"
  Type="http://schemas.openxmlformats.org/officeDocument/2006/relationships/hyperlink"
  Target="https://arcat.com/rfi?action=email&amp;company=CENTRIA&amp;message=RE%253A%2520Spec%2520Question%2520(07410cas)%253A%2520&amp;coid=31330&amp;spec=07410cas&amp;rep=&amp;fax="
  TargetMode="External"
/>
<Relationship
  Id="rId_B0F18F_2"
  Type="http://schemas.openxmlformats.org/officeDocument/2006/relationships/hyperlink"
  Target="https://www.centria.com"
  TargetMode="External"
/>
<Relationship
  Id="rId_B0F18F_3"
  Type="http://schemas.openxmlformats.org/officeDocument/2006/relationships/hyperlink"
  Target="https://arcat.com/company/centria-31330"
  TargetMode="External"
/>
<Relationship
  Id="rId_B3F779_1"
  Type="http://schemas.openxmlformats.org/officeDocument/2006/relationships/hyperlink"
  Target="http://www.c2ccertified.com"
  TargetMode="External"
/>
<Relationship
  Id="rId_AD8309_1"
  Type="http://schemas.openxmlformats.org/officeDocument/2006/relationships/hyperlink"
  Target="https://arcat.com/rfi?action=email&amp;company=CENTRIA&amp;message=RE%253A%2520Spec%2520Question%2520(07410cas)%253A%2520&amp;coid=31330&amp;spec=07410cas&amp;rep=&amp;fax="
  TargetMode="External"
/>
<Relationship
  Id="rId_AD8309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