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2C735D"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735D" descr="https://www.arcat.com/clients/gfx/doorsys.png"/>
                      <pic:cNvPicPr>
                        <a:picLocks noChangeAspect="1" noChangeArrowheads="1"/>
                      </pic:cNvPicPr>
                    </pic:nvPicPr>
                    <pic:blipFill>
                      <a:blip r:link="rId_2C735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at:1150 S. Las BrisasPlacentia, CA 92870Toll Free Tel: 866-534-3667Tel: 714-258-7100Fax: 714-258-7171Email: </w:t>
      </w:r>
      <w:hyperlink r:id="rId_57FB3E_1" w:history="1">
        <w:tooltip>request info (contact@doorsysinc.com) downloads</w:tooltip>
        <w:r>
          <w:rPr>
            <w:rStyle w:val="Hyperlink"/>
            <w:color w:val="802020"/>
            <w:u w:val="single"/>
          </w:rPr>
          <w:t>request info (contact@doorsysinc.com)</w:t>
        </w:r>
      </w:hyperlink>
      <w:r>
        <w:rPr/>
        <w:t/>
      </w:r>
      <w:r>
        <w:rPr/>
        <w:br/>
        <w:t>Web: </w:t>
      </w:r>
      <w:hyperlink r:id="rId_57FB3E_2" w:history="1">
        <w:tooltip>https://www.doorsysinc.com downloads</w:tooltip>
        <w:r>
          <w:rPr>
            <w:rStyle w:val="Hyperlink"/>
            <w:color w:val="802020"/>
            <w:u w:val="single"/>
          </w:rPr>
          <w:t>https://www.doorsysinc.com</w:t>
        </w:r>
      </w:hyperlink>
      <w:r>
        <w:rPr/>
        <w:t>  </w:t>
      </w:r>
      <w:r>
        <w:rPr/>
        <w:br/>
        <w:t> [ </w:t>
      </w:r>
      <w:hyperlink r:id="rId_57FB3E_3" w:history="1">
        <w:tooltip>Click Here downloads</w:tooltip>
        <w:r>
          <w:rPr>
            <w:rStyle w:val="Hyperlink"/>
            <w:color w:val="802020"/>
            <w:u w:val="single"/>
          </w:rPr>
          <w:t>Click Here</w:t>
        </w:r>
      </w:hyperlink>
      <w:r>
        <w:rPr/>
        <w:t> ] for additional information.</w:t>
      </w:r>
      <w:r>
        <w:rPr/>
        <w:br/>
        <w:t>Door Systems, is dedicated to providing innovative solutions for your smoke and fire containment needs as well as assisting in concept, design and layout of all future projects.</w:t>
      </w:r>
      <w:r>
        <w:rPr/>
        <w:br/>
        <w:t>Whether you are an architect seeking consultation on a new construction project or a building owner/engineer looking to bring your existing facility up to code while reducing maintenance cost, the Door Systems, staff is here to assist.</w:t>
      </w:r>
      <w:r>
        <w:rPr/>
        <w:br/>
        <w:t>Door Systems products include DSI Fire Protective Smoke Curtains and Syntegra Integrated Fire Door Systems.</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Standard for Safety for Positive Pressure Fire Tests of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10B Fire test of door assemblies time temperature curve (no hose stream).</w:t>
      </w:r>
    </w:p>
    <w:p w:rsidR="ABFFABFF" w:rsidRDefault="ABFFABFF" w:rsidP="ABFFABFF">
      <w:pPr>
        <w:pStyle w:val="ARCATSubPara"/>
        <w:numPr>
          <w:ilvl w:val="3"/>
          <w:numId w:val="1"/>
        </w:numPr>
        <w:rPr/>
      </w:pPr>
      <w:r>
        <w:rPr/>
        <w:t>UL 10C Positive Pressure fire test for door assemblies time temperature curve (no hose stream).</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F02BD5_1" w:history="1">
        <w:tooltip>request info (contact@doorsysinc.com) downloads</w:tooltip>
        <w:r>
          <w:rPr>
            <w:rStyle w:val="Hyperlink"/>
            <w:color w:val="802020"/>
            <w:u w:val="single"/>
          </w:rPr>
          <w:t>request info (contact@doorsysinc.com)</w:t>
        </w:r>
      </w:hyperlink>
      <w:r>
        <w:rPr/>
        <w:t>;Web: </w:t>
      </w:r>
      <w:hyperlink r:id="rId_F02BD5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 </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 </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 </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UL Listed Fire Rating: Three hours.</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Four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735D"
  Type="http://schemas.openxmlformats.org/officeDocument/2006/relationships/image"
  Target="https://www.arcat.com/clients/gfx/doorsys.png"
  TargetMode="External"
/>
<Relationship
  Id="rId_57FB3E_1"
  Type="http://schemas.openxmlformats.org/officeDocument/2006/relationships/hyperlink"
  Target="https://arcat.com/rfi?action=email&amp;company=Door%252BSystems&amp;message=RE%253A%2520Spec%2520Question%2520(08348dsi)%253A%2520&amp;coid=50183&amp;spec=08348dsi&amp;rep=&amp;fax=714-258-7171"
  TargetMode="External"
/>
<Relationship
  Id="rId_57FB3E_2"
  Type="http://schemas.openxmlformats.org/officeDocument/2006/relationships/hyperlink"
  Target="https://www.doorsysinc.com"
  TargetMode="External"
/>
<Relationship
  Id="rId_57FB3E_3"
  Type="http://schemas.openxmlformats.org/officeDocument/2006/relationships/hyperlink"
  Target="https://arcat.com/company/door-systems-50183"
  TargetMode="External"
/>
<Relationship
  Id="rId_F02BD5_1"
  Type="http://schemas.openxmlformats.org/officeDocument/2006/relationships/hyperlink"
  Target="https://arcat.com/rfi?action=email&amp;company=Door%252BSystems&amp;message=RE%253A%2520Spec%2520Question%2520(08348dsi)%253A%2520&amp;coid=50183&amp;spec=08348dsi&amp;rep=&amp;fax=714-258-7171"
  TargetMode="External"
/>
<Relationship
  Id="rId_F02BD5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