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960E85"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0E85" descr="https://www.arcat.com/clients/gfx/lynnsafe.png"/>
                      <pic:cNvPicPr>
                        <a:picLocks noChangeAspect="1" noChangeArrowheads="1"/>
                      </pic:cNvPicPr>
                    </pic:nvPicPr>
                    <pic:blipFill>
                      <a:blip r:link="rId_960E85"/>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51AA32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5F386F_1" w:history="1">
        <w:tooltip>request info (Jr@lynnsafety.com) downloads</w:tooltip>
        <w:r>
          <w:rPr>
            <w:rStyle w:val="Hyperlink"/>
            <w:color w:val="802020"/>
            <w:u w:val="single"/>
          </w:rPr>
          <w:t>request info (Jr@lynnsafety.com)</w:t>
        </w:r>
      </w:hyperlink>
      <w:r>
        <w:rPr/>
        <w:t>;Web: </w:t>
      </w:r>
      <w:hyperlink r:id="rId_5F386F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0E85"
  Type="http://schemas.openxmlformats.org/officeDocument/2006/relationships/image"
  Target="https://www.arcat.com/clients/gfx/lynnsafe.png"
  TargetMode="External"
/>
<Relationship
  Id="rId_51AA32_1"
  Type="http://schemas.openxmlformats.org/officeDocument/2006/relationships/hyperlink"
  Target="http://www.lynnsafety.com"
  TargetMode="External"
/>
<Relationship
  Id="rId_5F386F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5F386F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