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5055EC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5055EC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5055EC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60 00</w:t>
      </w:r>
    </w:p>
    <w:p>
      <w:pPr>
        <w:pStyle w:val="ARCATTitle"/>
        <w:jc w:val="center"/>
        <w:rPr/>
      </w:pPr>
      <w:r>
        <w:rPr/>
        <w:t>CELLULAR PVC FABRICATIONS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71FA3E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71FA3E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71FA3E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Cellular PVC Fabrications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 (Perspective Decking, Serenity Decking)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Porch flooring. (Serenity Porch)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Railings. (Distinction Railings, Wolf Railings)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 (Portrait Siding)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Outdoor lighting.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20 00 - Finish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27 00 - Air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90 00 - Joint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B429 - Standard Specification for Aluminum Alloy Extruded Structural Pipe and Tube.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C177 - Standard Test Method for Steady-State Heat Flux Measurements and Thermal Transmission Properties by Means of the Guarded-Hot-Plate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C1363 - Standard Test Method for Thermal Performance of Building Materials and Envelope Assemblies by Means of a Hot Box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D256 - Standard Test Methods for Determining the Izod Pendulum Impact Resistance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D570 - Standard Test Method for Water Absorption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D635 - Standard Test Method for Rate of Burning and/or Extent and Time of Burning of Plastics in a Horizontal Position; 2018.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D648 - Standard Test Method for Deflection Temperature of Plastics Under Flexural Load in the Edgewise Position.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D696 - Test Method for Coefficient of Linear Expansion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D790 - Standard Test Methods for Flexural Properties of Unreinforced and Reinforced Plastics and Electrical Insulating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D792 - Standard Test Methods for Density and Specific Gravity (Relative Density) of Plastics by Displacement.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D1435 - Practice for Outdoor Weathering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D1761 - Standard Test Methods for Mechanical Fasteners in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D1784 - Standard Specification for Rigid Poly(Vinyl Chloride) (PVC) Compounds and Chlorinated Poly(Vinyl Chloride) (CPVC) Compounds.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D2244 - Practice for Calculation of Color Tolerances and Color Differences from Instrumentally Measured Color Coordinates.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D3345 - Standard Test Method for Laboratory Evaluation of Solid Wood for Resistance to Termites.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D3679 - Standard Specification for Rigid Poly(Vinyl Chloride) (PVC) Siding; 2017.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D4226 - Test Methods for Impact Resistance of Rigid Poly Vinyl Chloride (PVC) Building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D5206 - Standard Test Method for Windload Resistance of Rigid Plastic Siding; 2013.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D5420 - Standard Test Method for Impact Resistance of Flat, Rigid Plastic Specimen by Means of a Striker Impacted by a Falling Weight (Gardner Impact).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D6662 - Standard Specification for Polyolefin-Based Plastic Lumber Decking Boards.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E330 - Standard Test Method for Structural Performance of Exterior Windows, Doors, Skylights and Curtain Walls by Uniform Static Air Pressure Difference.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G147 - Practice for Conditioning and handling of Nonmetallic Materials for Natural and Artificial Weathering Tests.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Association of Textile Chemists and Colorists (AATCC):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AATCC 127 - Water Resistance: Hydrostatic Pressure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Wood Protection Association (AWPA):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AWPA E12 - Standard Method of Determining Corrosion of Metal in Contact with Treated 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AC227 - Rigid Cellular PVC Non-Load Bearing Exterior Trim.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>
      <w:pPr>
        <w:pStyle w:val="ARCATnote"/>
        <w:rPr/>
      </w:pPr>
      <w:r>
        <w:rPr/>
        <w:t>** NOTE TO SPECIFIER ** Delete warranty duration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Perspective Decking: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Decking: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Porch: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Distinction Railings: Lifetime.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Wolf Railings: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30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Siding: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Trim: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Outdoor Lighting: Five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DECKING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Perspective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Made from up to 94 percent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7/8 x 5-1/2 inches (22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3/4 x 11-1/4 inches (19 x 286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Grooved, to accept hidden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grain.</w:t>
      </w:r>
    </w:p>
    <w:p>
      <w:pPr>
        <w:pStyle w:val="ARCATnote"/>
        <w:rPr/>
      </w:pPr>
      <w:r>
        <w:rPr/>
        <w:t>** NOTE TO SPECIFIER ** Optional.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Dexerdry, acts like gutters to create dry space below the deck.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Acacia.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Cedar Ridge.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Potomac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Dune.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Universal hidden fastener.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Phantom GT hidden fastener.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5-1/2 inches (25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1/2 x 11-3/4 inches (12 x 298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Black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Driftwood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Rosewood.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Teakwood.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Hidden.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Traditional.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PORCH FLOORING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Porch;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Mold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staining and fading.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Recycled Content: 95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maximum 200, smoke developed maximum 285.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Load Capacity: 100 psf (4.79 kPa) with deflection limited to 1/360 of span.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Capped cellular PVC.</w:t>
      </w:r>
    </w:p>
    <w:p>
      <w:pPr>
        <w:pStyle w:val="ARCATnote"/>
        <w:rPr/>
      </w:pPr>
      <w:r>
        <w:rPr/>
        <w:t>** NOTE TO SPECIFIER ** Pewter color size is 3/4 x 3-1/8 (19 x 79 mm), all other colors are 1 x 3-1/8 inch (25 x 79 mm). Delete dimension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3-1/8 inches (25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3/4 x 3-1/8 inches (19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Tongue and groove.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Pewter.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Use Type 316 for coastal applications. Delete fastener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316.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305.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Screw Size: No. 7 screw.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Fastener Length: 2 inches (51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RAILINGS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Distinction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6 feet (1829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8 feet (2438 mm).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component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and bottom rails. Top rail features elegant cures and flat top for a beverage friendly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Channel: Structural grade aluminum H-channel.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Baluster: Solid core baluster.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Sleeves: Allow for quick and easy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Brackets: Optibracket attaches straight or at 22.5, 45, or 90 degree angles.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caps.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rings.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Distributed Loads: Design railing assembly, wall rails, and attachments to resist distributed force of 50 lbs per linear foot (730 N per m) applied to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Loads: Design railing assembly, wall rails, and attachments to resist a concentrated force of 200 lbs (89 N) applied at any point on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Allow for expansion and contraction of members and building movement without damage to connections or members.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 anchors and other components as required to attach to structure; where exposed fasteners are unavoidable provide flush countersunk fasteners.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Poly Vinyl Chloride (PVC) per ASTM D1784: lmpact-resistant and ultraviolet (UV) stable extruded product.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of 200, maximum.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Reinforcement for Rails: Aluminum extrusions; alloy and temper 6063-T5 or 6063-T6 complying with ASTM B429.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>
      <w:pPr>
        <w:pStyle w:val="ARCATnote"/>
        <w:rPr/>
      </w:pPr>
      <w:r>
        <w:rPr/>
        <w:t>** NOTE TO SPECIFIER ** Delete baluster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Colonial.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Square.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Classic Series, Round.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Matte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Copper.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Rust.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Scenic Clear View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Classic.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Baroque.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Arc.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Posts: Colonial structural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Sleeve Size: As required to fit wood posts.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Trim: One piece post trim.</w:t>
      </w:r>
    </w:p>
    <w:p>
      <w:pPr>
        <w:pStyle w:val="ARCATnote"/>
        <w:rPr/>
      </w:pPr>
      <w:r>
        <w:rPr/>
        <w:t>** NOTE TO SPECIFIER ** Delete post cap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As specified in Outdoor Lighting Article.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New England Classic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Federation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External Pyramid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Brackets and Mounting Hardware: Manufacturer's mounting brackets to match railing configuration. Complete with cover plates and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Exposed Fasteners: No exposed bolts or screws one trim has been installed.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Almond.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Khaki.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Mocha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Earl Gray.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Green Teak.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Comply with ASTM D3679.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Expansion per ASTM D696: Exceeds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per ASTM D1435 and ASTM G147: Passes; Uniform of color; no peeling, chipping, cracking, flaking and pitting.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Uniformity of Color per ASTM D2244: Passed.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Horizontal Flammability per ASTM D635: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Extent of Burn: 0 mm.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Average Time of Burn: Less than 1 seconds.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Portrait Siding;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profile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Silhouette, Single 7 inch (178 mm) exposure, 8-1/4 inch (210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95 psf (4.55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169 in.lbf (19.1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0.37 hr sq ft F/btu (256.54 cm K per 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Vignette, Double 4 inch (102 mm) exposure, 9-1/4 inch (235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185 psf (8.86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71 in.lbf (8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0.36 hr. sq.ft. F/btu (249.6 cm K per W).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Flange: Single layer with pre-slotted nail holes and smooth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Drainage House Wrap: Non-woven vapor permeable water resistant barrier.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Basis of Design: BLOCK-IT House Wrap as manufactured by Kimberly-Clark and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Starter Strips: Wolf Portrait Siding starter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and Accessories: Coordinating accessories made of same material as required for complete installation.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Match adjacent siding.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5/4 cellular PVC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Seam Plates: Infinity Seam Plates designed and sized to match siding profile.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Adhesive: Approved by siding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Fasteners: Cortex hidden fastening system for trim.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TRIM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Density (ASTM D792): 0.022 lbs per cu inch (0.60 g per cu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Absorption, 24 hours (ASTM D570): Less than 0.3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Resistance (ASTM D570 and AATCC 127): No penetration, passes ICC AC227.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 Burning (ASTM E84): Flame spread index of 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Burning Rate (ASTM D635): No burn when flame removed.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Gardener Impact Resistance (ASTM D5420): 629 in-lbf (71.1 Nm) for 3/4 inch (19 mm) thick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Thermal Expansion (ASTM D 696): .000035 inch/inch/degree F (.000063 mm/mm/C).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Strength (ASTM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Strength): 3,600.0 psi (24,821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Modulus): 144,000.0 psi (992,845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G155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2.4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D6662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0.1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0.9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Termite Resistance (ASTM D3345): 9.2,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Mechanical Fastener, Allowable Load (ASTM D1761): 151 lbf (671.7 N) with 8d nail and 1 inch (25 mm) thick trim.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Negative Transverse Wind Load (ASTM E330): 72 psf (3.45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Deflection Temperature (ASTM D648): 146 degrees F (63 degrees C) at 264 psi (1820 kPa).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Corrosion by Preservative Treated Wood (AWAP E12): No weight loss,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Izod Impact, Notched (ASTM D648): 0.37 ft-lb/in (0.02 N-m/mm).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Conductivity (ASTM C177): 0.50 btu-in/hr-ft2-degrees F (0.00072 W/cm C).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PVC Trim;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Allowable Tolerances: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length: Minus 0.00 and plus 7/8 inch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Width: Minus 0.00 and plus 1/16 inch (1.6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thickness: Plus or minus 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edge: Plus or minus 2 degrees.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Density range: 0.58 - 0.62.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Shore-D hardness: 45.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Adhesives: Extreme Adhesives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Sealants: Fill n Flex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Paints: See Section 09 90 00 - Painting and Coating: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Light Colors with LRV or 55 or higher: Use a 100 percent acrylic latex paint.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Dark Colors with LRV or 54 or lower: Use paints specifically formulated for use on vinyl or PVC products. Acrylic or urethane based latex exterior paints are recommended.</w:t>
      </w:r>
    </w:p>
    <w:p>
      <w:pPr>
        <w:pStyle w:val="ARCATnote"/>
        <w:rPr/>
      </w:pPr>
      <w:r>
        <w:rPr/>
        <w:t>** NOTE TO SPECIFIER ** Used for seaming, splicing of insulation sheets, house wraps, wall boards, splicing around window frames, and as a waterproofing tape on outdoor deck's rafter.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SELF-ADHERING FLASHING TAPE: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Nichigo G-Tape No. 3040BK. For installation of exterior wall fenestration products. Maintains performance after exposure to prolonged sunlight and precipitation.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Composition: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laminating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HDPE cloth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Laminated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Acrylic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Paper liner.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Meets AAMA 711-13; Type A, without primer, Level 3 exposure up to 176 degreesF, and AC 148.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Properties: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 per PSTC 13: 9.4 mils (0.24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Peel Adhesion per PSTC 101: 136 oz per inch (15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Shear Adhesion per PSTC 107: 39 mils (1.0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Breaking Strength per PSTC 131: 44.5 lbf per inch (78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 PSTC 131: 17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Temperature Use Range per MCC Method: Minus 40 to 200 degrees F (4 to 93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Characteristics: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dimension stability.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Extremely High weather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Firm fixing on rough surfaces.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initial stickiness.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black speck or stain.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 by hands. No cutting tool is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Scrapless: Face to face contact of adhesive separates without damaging the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Light Weight: 50 to 70 percent lighter than conventional window flashing tape.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OUTDOOR LIGHTING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Outdoor Lighting;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Energy efficient and weather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Bluetooth compatible.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Durable and UV stable.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Rated Life: 50,000 hours.</w:t>
      </w:r>
    </w:p>
    <w:p>
      <w:pPr>
        <w:pStyle w:val="ARCATnote"/>
        <w:rPr/>
      </w:pPr>
      <w:r>
        <w:rPr/>
        <w:t>** NOTE TO SPECIFIER ** Delete transformer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Dimmable.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DC power.</w:t>
      </w:r>
    </w:p>
    <w:p>
      <w:pPr>
        <w:pStyle w:val="ARCATnote"/>
        <w:rPr/>
      </w:pPr>
      <w:r>
        <w:rPr/>
        <w:t>** NOTE TO SPECIFIER ** Delete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downward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combo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 scalloped lens.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Side stair light with 2 covers.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LED strip light.</w:t>
      </w:r>
    </w:p>
    <w:p>
      <w:pPr>
        <w:pStyle w:val="ARCATnote"/>
        <w:rPr/>
      </w:pPr>
      <w:r>
        <w:rPr/>
        <w:t>** NOTE TO SPECIFIER ** Delete length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68 inches (1727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92 inches (2337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side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3 inch (76 mm) under-rail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Flush deck light.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50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Dimmer for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2 foot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5 foot (1524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7 foot (2134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9 foot (2743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2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5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68 inch (1727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92 inch (2337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72 inch (1829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96 inch (2438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 decking and porch flooring installations, ensure surfaces are suitable for installation of decking and that adequate structural support has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Cutting: Use saw capable of miter cuts with a fine-toothed carbide tipped finish trim blade with tooth count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recommendations for fastener placement and spacing.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Decking and Porch Flooring: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 1/4 inch (6 mm) bead of adhesive on each joist to minimize expansion and contraction.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with embossed or grain side up. Install rim boards with embossed or grain side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tight to joists. Provide shims if there are variations in framing.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Countersink fasteners. Provide necessary clearance when installing the next board.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final boards as required and install as soon as possible after cutting.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Expansion and Contraction: Refer to manufacturers board spacing chart based on temperature at the time of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decking with ends staggered over firm bearing. On sloped surfaces, lay decking with tongue upward.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Secure with manufacturer's recommended fastener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end butts and miters 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accordance with manufacturer's instructions.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all flat railing wood posts to a height of 36 inches (914 mm) above finished floor or deck and check for level and plumb.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stair wood posts a minimum of 48 inches (1219 mm) above the tread and check for level and plumb.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the manufacturer's siding starter strip straight and level line, nailing every 8 to 12 inches (203 to 305 mm) fastening to wall studs as often as possible.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siding, and trim in accordance with manufacturer's printed installation instructions.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minimum of 1/2 inch (13 mm) clearance between siding and any surface that may collect water.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siding face down.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Trim: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Glue all joints between trim pieces to prevent joint separation.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60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5055EC"
  Type="http://schemas.openxmlformats.org/officeDocument/2006/relationships/image"
  Target="https://www.arcat.com/clients/gfx/wolf.png"
  TargetMode="External"
/>
<Relationship
  Id="rId_71FA3E_1"
  Type="http://schemas.openxmlformats.org/officeDocument/2006/relationships/hyperlink"
  Target="https://arcat.com/rfi?action=email&amp;company=Wolf%252BHome%252BProducts&amp;message=RE%253A%2520Spec%2520Question%2520(06600whp)%253A%2520&amp;coid=52495&amp;spec=06600whp&amp;rep=&amp;fax="
  TargetMode="External"
/>
<Relationship
  Id="rId_71FA3E_2"
  Type="http://schemas.openxmlformats.org/officeDocument/2006/relationships/hyperlink"
  Target="https://www.wolfhomeproducts.com"
  TargetMode="External"
/>
<Relationship
  Id="rId_71FA3E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